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4F65" w14:textId="3A84A97E" w:rsidR="00EC13DA" w:rsidRPr="00A57C11" w:rsidRDefault="00743809" w:rsidP="00A57C11">
      <w:pPr>
        <w:spacing w:after="252" w:line="276" w:lineRule="auto"/>
        <w:ind w:left="-5"/>
      </w:pPr>
      <w:r w:rsidRPr="00A57C11">
        <w:rPr>
          <w:b/>
        </w:rPr>
        <w:t xml:space="preserve">Algemene Voorwaarden Voogt Care </w:t>
      </w:r>
      <w:r w:rsidR="00A57C11" w:rsidRPr="00A57C11">
        <w:rPr>
          <w:b/>
        </w:rPr>
        <w:t>2025/2026</w:t>
      </w:r>
      <w:r w:rsidRPr="00A57C11">
        <w:rPr>
          <w:b/>
        </w:rPr>
        <w:t xml:space="preserve"> </w:t>
      </w:r>
    </w:p>
    <w:p w14:paraId="0FD08726" w14:textId="77777777" w:rsidR="00EC13DA" w:rsidRPr="00A57C11" w:rsidRDefault="00743809" w:rsidP="00A57C11">
      <w:pPr>
        <w:pStyle w:val="Kop1"/>
        <w:spacing w:line="276" w:lineRule="auto"/>
        <w:ind w:left="256" w:hanging="271"/>
      </w:pPr>
      <w:r w:rsidRPr="00A57C11">
        <w:t>Algemeen</w:t>
      </w:r>
      <w:r w:rsidRPr="00A57C11">
        <w:rPr>
          <w:b w:val="0"/>
        </w:rPr>
        <w:t xml:space="preserve"> </w:t>
      </w:r>
    </w:p>
    <w:p w14:paraId="4DDD6BC9" w14:textId="77777777" w:rsidR="00EC13DA" w:rsidRPr="00A57C11" w:rsidRDefault="00743809" w:rsidP="00A57C11">
      <w:pPr>
        <w:spacing w:line="276" w:lineRule="auto"/>
        <w:ind w:left="-5"/>
        <w:rPr>
          <w:sz w:val="24"/>
        </w:rPr>
      </w:pPr>
      <w:r w:rsidRPr="00A57C11">
        <w:rPr>
          <w:sz w:val="24"/>
        </w:rPr>
        <w:t xml:space="preserve">Deze algemene voorwaarden maken onderdeel uit van elke overeenkomst tussen de diëtist </w:t>
      </w:r>
      <w:r w:rsidRPr="00A57C11">
        <w:rPr>
          <w:sz w:val="24"/>
        </w:rPr>
        <w:t xml:space="preserve">en zijn/haar opdrachtgever inzake behandeling en/of het leveren van diensten. Onder opdrachtgever wordt verstaan alle cliënten of andere natuurlijke en rechtspersonen, dan wel hun wettelijke vertegenwoordigers die de dienst van de diëtist inroepen. </w:t>
      </w:r>
    </w:p>
    <w:p w14:paraId="427CEA97" w14:textId="77777777" w:rsidR="00EC13DA" w:rsidRPr="00A57C11" w:rsidRDefault="00743809" w:rsidP="00A57C11">
      <w:pPr>
        <w:pStyle w:val="Kop1"/>
        <w:spacing w:line="276" w:lineRule="auto"/>
        <w:ind w:left="256" w:hanging="271"/>
      </w:pPr>
      <w:r w:rsidRPr="00A57C11">
        <w:t>Verhindering</w:t>
      </w:r>
      <w:r w:rsidRPr="00A57C11">
        <w:rPr>
          <w:b w:val="0"/>
        </w:rPr>
        <w:t xml:space="preserve"> </w:t>
      </w:r>
    </w:p>
    <w:p w14:paraId="4D408443" w14:textId="77777777" w:rsidR="00EC13DA" w:rsidRPr="00A57C11" w:rsidRDefault="00743809" w:rsidP="00A57C11">
      <w:pPr>
        <w:spacing w:line="276" w:lineRule="auto"/>
        <w:ind w:left="-5"/>
        <w:rPr>
          <w:sz w:val="24"/>
        </w:rPr>
      </w:pPr>
      <w:r w:rsidRPr="00A57C11">
        <w:rPr>
          <w:sz w:val="24"/>
        </w:rPr>
        <w:t xml:space="preserve">Indien de opdrachtgever verhinderd is om op afgesproken datum en tijdstip aanwezig te zijn, dient hij/zij de diëtist hiervan zo spoedig mogelijk op de hoogte te stellen. Afspraken die niet minimaal 24 uur van tevoren zijn afgezegd worden in rekening gebracht. Afzegging dient persoonlijk of via de telefoon via e-mail te worden gedaan. U kunt ten allen tijden afzeggen, ook in het weekend. </w:t>
      </w:r>
    </w:p>
    <w:p w14:paraId="3F1EDD46" w14:textId="77777777" w:rsidR="00EC13DA" w:rsidRPr="00A57C11" w:rsidRDefault="00743809" w:rsidP="00A57C11">
      <w:pPr>
        <w:pStyle w:val="Kop1"/>
        <w:spacing w:line="276" w:lineRule="auto"/>
        <w:ind w:left="256" w:hanging="271"/>
      </w:pPr>
      <w:r w:rsidRPr="00A57C11">
        <w:t>Tarieven</w:t>
      </w:r>
      <w:r w:rsidRPr="00A57C11">
        <w:rPr>
          <w:b w:val="0"/>
        </w:rPr>
        <w:t xml:space="preserve"> </w:t>
      </w:r>
    </w:p>
    <w:p w14:paraId="31928DA5" w14:textId="77777777" w:rsidR="00743809" w:rsidRDefault="00A57C11" w:rsidP="00A57C11">
      <w:pPr>
        <w:pStyle w:val="has-text-align-left"/>
        <w:shd w:val="clear" w:color="auto" w:fill="FFFFFF"/>
        <w:spacing w:line="276" w:lineRule="auto"/>
        <w:rPr>
          <w:rFonts w:ascii="Calibri" w:hAnsi="Calibri" w:cs="Calibri"/>
          <w:color w:val="111111"/>
        </w:rPr>
      </w:pPr>
      <w:r w:rsidRPr="00A57C11">
        <w:rPr>
          <w:rFonts w:ascii="Calibri" w:hAnsi="Calibri" w:cs="Calibri"/>
          <w:color w:val="111111"/>
        </w:rPr>
        <w:t>Voogt Care heeft (vooralsnog) geen contracten met zorgverzekeraars. U kunt uw facturen na betaling zelf indienen bij uw zorgverzekeraar. Voor vragen rondom uw vergoeding kunt u het beste contact opnemen met uw zorgverzekeraar.</w:t>
      </w:r>
      <w:r w:rsidR="00743809">
        <w:rPr>
          <w:rFonts w:ascii="Calibri" w:hAnsi="Calibri" w:cs="Calibri"/>
          <w:color w:val="111111"/>
        </w:rPr>
        <w:t xml:space="preserve"> </w:t>
      </w:r>
    </w:p>
    <w:p w14:paraId="14FDF18F" w14:textId="46598C7E" w:rsidR="00743809" w:rsidRPr="00743809" w:rsidRDefault="00A57C11" w:rsidP="00A57C11">
      <w:pPr>
        <w:pStyle w:val="has-text-align-left"/>
        <w:shd w:val="clear" w:color="auto" w:fill="FFFFFF"/>
        <w:spacing w:line="276" w:lineRule="auto"/>
        <w:rPr>
          <w:rFonts w:ascii="Calibri" w:hAnsi="Calibri" w:cs="Calibri"/>
        </w:rPr>
      </w:pPr>
      <w:r w:rsidRPr="00A57C11">
        <w:rPr>
          <w:rFonts w:ascii="Calibri" w:hAnsi="Calibri" w:cs="Calibri"/>
          <w:color w:val="111111"/>
        </w:rPr>
        <w:t>Heeft u voor uzelf of voor uw kind voeding- en dieetadvisering of een goede gewichtscoach nodig dan kunt u bij mij terecht zonder verwijzing van de huisarts. Het kan wel zijn dat uw zorgverzekeraar deze nodig acht.</w:t>
      </w:r>
      <w:r w:rsidRPr="00A57C11">
        <w:rPr>
          <w:rFonts w:ascii="Calibri" w:hAnsi="Calibri" w:cs="Calibri"/>
          <w:color w:val="111111"/>
        </w:rPr>
        <w:t xml:space="preserve"> </w:t>
      </w:r>
      <w:r w:rsidR="00743809" w:rsidRPr="00A57C11">
        <w:rPr>
          <w:rFonts w:ascii="Calibri" w:hAnsi="Calibri" w:cs="Calibri"/>
        </w:rPr>
        <w:t xml:space="preserve">De berekende tijd op de factuur kan verschillen met de consulttijd, in verband met de benodigde tijd voor het uitwerken van het individueel dieetvoorschrift. Soms is er meer en soms is er minder tijd nodig. Alles gaat in overleg. Indien u een afspraak bij verhindering niet tenminste 24 uur van te voren afzegt, zijn wij genoodzaakt het afgesproken consult te berekenen. </w:t>
      </w:r>
    </w:p>
    <w:p w14:paraId="76240A35" w14:textId="77777777" w:rsidR="00743809" w:rsidRDefault="00743809" w:rsidP="00743809">
      <w:pPr>
        <w:pStyle w:val="has-text-align-left"/>
        <w:shd w:val="clear" w:color="auto" w:fill="FFFFFF"/>
        <w:spacing w:line="276" w:lineRule="auto"/>
        <w:rPr>
          <w:rFonts w:ascii="Calibri" w:hAnsi="Calibri" w:cs="Calibri"/>
          <w:color w:val="111111"/>
        </w:rPr>
      </w:pPr>
      <w:r w:rsidRPr="00A57C11">
        <w:rPr>
          <w:rFonts w:ascii="Calibri" w:hAnsi="Calibri" w:cs="Calibri"/>
          <w:color w:val="111111"/>
        </w:rPr>
        <w:t>Kosten per 15 minuten: € 22,00.</w:t>
      </w:r>
      <w:r>
        <w:rPr>
          <w:rFonts w:ascii="Calibri" w:hAnsi="Calibri" w:cs="Calibri"/>
          <w:color w:val="111111"/>
        </w:rPr>
        <w:t xml:space="preserve"> </w:t>
      </w:r>
    </w:p>
    <w:p w14:paraId="5F565675" w14:textId="77777777" w:rsidR="00743809" w:rsidRDefault="00743809" w:rsidP="00743809">
      <w:pPr>
        <w:pStyle w:val="has-text-align-left"/>
        <w:shd w:val="clear" w:color="auto" w:fill="FFFFFF"/>
        <w:spacing w:line="276" w:lineRule="auto"/>
        <w:rPr>
          <w:rFonts w:ascii="Calibri" w:hAnsi="Calibri" w:cs="Calibri"/>
          <w:color w:val="111111"/>
        </w:rPr>
      </w:pPr>
      <w:r w:rsidRPr="00A57C11">
        <w:rPr>
          <w:rFonts w:ascii="Calibri" w:hAnsi="Calibri" w:cs="Calibri"/>
          <w:color w:val="111111"/>
        </w:rPr>
        <w:t>Intakeconsult duurt 60 minuten: € 88,00</w:t>
      </w:r>
      <w:r>
        <w:rPr>
          <w:rFonts w:ascii="Calibri" w:hAnsi="Calibri" w:cs="Calibri"/>
          <w:color w:val="111111"/>
        </w:rPr>
        <w:t xml:space="preserve"> </w:t>
      </w:r>
    </w:p>
    <w:p w14:paraId="3E7D8D86" w14:textId="77777777" w:rsidR="00743809" w:rsidRDefault="00743809" w:rsidP="00743809">
      <w:pPr>
        <w:pStyle w:val="has-text-align-left"/>
        <w:shd w:val="clear" w:color="auto" w:fill="FFFFFF"/>
        <w:spacing w:line="276" w:lineRule="auto"/>
        <w:rPr>
          <w:rFonts w:ascii="Calibri" w:hAnsi="Calibri" w:cs="Calibri"/>
          <w:color w:val="111111"/>
        </w:rPr>
      </w:pPr>
      <w:r w:rsidRPr="00A57C11">
        <w:rPr>
          <w:rFonts w:ascii="Calibri" w:hAnsi="Calibri" w:cs="Calibri"/>
          <w:color w:val="111111"/>
        </w:rPr>
        <w:t>Vervolgconsulten zijn 30 of 15 minuten.</w:t>
      </w:r>
      <w:r>
        <w:rPr>
          <w:rFonts w:ascii="Calibri" w:hAnsi="Calibri" w:cs="Calibri"/>
          <w:color w:val="111111"/>
        </w:rPr>
        <w:t xml:space="preserve"> </w:t>
      </w:r>
    </w:p>
    <w:p w14:paraId="4C5A5F09" w14:textId="77777777" w:rsidR="00743809" w:rsidRDefault="00743809" w:rsidP="00743809">
      <w:pPr>
        <w:pStyle w:val="has-text-align-left"/>
        <w:shd w:val="clear" w:color="auto" w:fill="FFFFFF"/>
        <w:spacing w:line="276" w:lineRule="auto"/>
        <w:rPr>
          <w:rFonts w:ascii="Calibri" w:hAnsi="Calibri" w:cs="Calibri"/>
          <w:color w:val="111111"/>
        </w:rPr>
      </w:pPr>
      <w:r w:rsidRPr="00A57C11">
        <w:rPr>
          <w:rFonts w:ascii="Calibri" w:hAnsi="Calibri" w:cs="Calibri"/>
          <w:color w:val="111111"/>
        </w:rPr>
        <w:t xml:space="preserve">Telefonisch consult: € 20,00; </w:t>
      </w:r>
    </w:p>
    <w:p w14:paraId="5E50BE78" w14:textId="5FFA18F9" w:rsidR="00743809" w:rsidRPr="00A57C11" w:rsidRDefault="00743809" w:rsidP="00743809">
      <w:pPr>
        <w:pStyle w:val="has-text-align-left"/>
        <w:shd w:val="clear" w:color="auto" w:fill="FFFFFF"/>
        <w:spacing w:line="276" w:lineRule="auto"/>
        <w:rPr>
          <w:rFonts w:ascii="Calibri" w:hAnsi="Calibri" w:cs="Calibri"/>
          <w:color w:val="111111"/>
        </w:rPr>
      </w:pPr>
      <w:r w:rsidRPr="00A57C11">
        <w:rPr>
          <w:rFonts w:ascii="Calibri" w:hAnsi="Calibri" w:cs="Calibri"/>
          <w:color w:val="111111"/>
        </w:rPr>
        <w:t>No Show: €20,00</w:t>
      </w:r>
      <w:r w:rsidRPr="00A57C11">
        <w:rPr>
          <w:rFonts w:ascii="Calibri" w:hAnsi="Calibri" w:cs="Calibri"/>
          <w:color w:val="111111"/>
        </w:rPr>
        <w:br/>
        <w:t>Toeslag voor consult aan huis: € 15,00.</w:t>
      </w:r>
    </w:p>
    <w:p w14:paraId="3773A4C3" w14:textId="77777777" w:rsidR="00A57C11" w:rsidRPr="00A57C11" w:rsidRDefault="00A57C11" w:rsidP="00A57C11">
      <w:pPr>
        <w:pStyle w:val="has-text-align-left"/>
        <w:shd w:val="clear" w:color="auto" w:fill="FFFFFF"/>
        <w:spacing w:line="276" w:lineRule="auto"/>
        <w:rPr>
          <w:rFonts w:ascii="Calibri" w:hAnsi="Calibri" w:cs="Calibri"/>
          <w:color w:val="111111"/>
          <w:sz w:val="25"/>
          <w:szCs w:val="25"/>
        </w:rPr>
      </w:pPr>
    </w:p>
    <w:p w14:paraId="0EE48F3F" w14:textId="77777777" w:rsidR="00EC13DA" w:rsidRPr="00A57C11" w:rsidRDefault="00743809" w:rsidP="00A57C11">
      <w:pPr>
        <w:pStyle w:val="Kop1"/>
        <w:spacing w:line="276" w:lineRule="auto"/>
        <w:ind w:left="256" w:hanging="271"/>
      </w:pPr>
      <w:r w:rsidRPr="00A57C11">
        <w:t>Declaraties</w:t>
      </w:r>
      <w:r w:rsidRPr="00A57C11">
        <w:rPr>
          <w:b w:val="0"/>
        </w:rPr>
        <w:t xml:space="preserve"> </w:t>
      </w:r>
    </w:p>
    <w:p w14:paraId="715809F3" w14:textId="77777777" w:rsidR="00EC13DA" w:rsidRPr="00743809" w:rsidRDefault="00743809" w:rsidP="00A57C11">
      <w:pPr>
        <w:spacing w:line="276" w:lineRule="auto"/>
        <w:ind w:left="-5"/>
        <w:rPr>
          <w:sz w:val="24"/>
        </w:rPr>
      </w:pPr>
      <w:r w:rsidRPr="00743809">
        <w:rPr>
          <w:sz w:val="24"/>
        </w:rPr>
        <w:t xml:space="preserve">De opdrachtgever ontvangt een factuur. De opdrachtgever is zelf betaling verschuldigd. </w:t>
      </w:r>
    </w:p>
    <w:p w14:paraId="5982939B" w14:textId="77777777" w:rsidR="00EC13DA" w:rsidRPr="00743809" w:rsidRDefault="00743809" w:rsidP="00A57C11">
      <w:pPr>
        <w:spacing w:line="276" w:lineRule="auto"/>
        <w:ind w:left="-5"/>
        <w:rPr>
          <w:sz w:val="24"/>
        </w:rPr>
      </w:pPr>
      <w:r w:rsidRPr="00743809">
        <w:rPr>
          <w:sz w:val="24"/>
        </w:rPr>
        <w:t xml:space="preserve">Het rekeningnummer van Voogt Care is: NL52 KNAB 0259 3898 70 </w:t>
      </w:r>
    </w:p>
    <w:p w14:paraId="0165838B" w14:textId="77777777" w:rsidR="00EC13DA" w:rsidRPr="00A57C11" w:rsidRDefault="00743809" w:rsidP="00A57C11">
      <w:pPr>
        <w:pStyle w:val="Kop1"/>
        <w:spacing w:line="276" w:lineRule="auto"/>
        <w:ind w:left="256" w:hanging="271"/>
      </w:pPr>
      <w:r w:rsidRPr="00A57C11">
        <w:lastRenderedPageBreak/>
        <w:t>Betaling</w:t>
      </w:r>
      <w:r w:rsidRPr="00A57C11">
        <w:rPr>
          <w:b w:val="0"/>
        </w:rPr>
        <w:t xml:space="preserve"> </w:t>
      </w:r>
    </w:p>
    <w:p w14:paraId="2E7423FE" w14:textId="77777777" w:rsidR="00EC13DA" w:rsidRPr="00743809" w:rsidRDefault="00743809" w:rsidP="00A57C11">
      <w:pPr>
        <w:spacing w:after="55" w:line="276" w:lineRule="auto"/>
        <w:ind w:left="-5"/>
        <w:rPr>
          <w:sz w:val="24"/>
        </w:rPr>
      </w:pPr>
      <w:r w:rsidRPr="00743809">
        <w:rPr>
          <w:sz w:val="24"/>
        </w:rPr>
        <w:t xml:space="preserve">Bij het uitblijven van betaling binnen de gestelde termijn, is de opdrachtgever in gebreke zonder dat daartoe een nadere ingebrekestelling nodig is. Zolang de opdrachtgever in gebreke blijft aan zijn/haar verplichtingen te voldoen, zullen alle </w:t>
      </w:r>
    </w:p>
    <w:p w14:paraId="0891982A" w14:textId="77777777" w:rsidR="00EC13DA" w:rsidRPr="00743809" w:rsidRDefault="00743809" w:rsidP="00A57C11">
      <w:pPr>
        <w:spacing w:line="276" w:lineRule="auto"/>
        <w:ind w:left="-5"/>
        <w:rPr>
          <w:sz w:val="24"/>
        </w:rPr>
      </w:pPr>
      <w:r w:rsidRPr="00743809">
        <w:rPr>
          <w:sz w:val="24"/>
        </w:rPr>
        <w:t xml:space="preserve">kosten welke verband houden met de inning van de desbetreffende vordering in rekening worden gebracht bij de opdrachtgever. Onder deze kosten worden uitdrukkelijk mede verstaan de kosten ter incasso door een incassobureau en gerechtelijke kosten. </w:t>
      </w:r>
    </w:p>
    <w:p w14:paraId="548732FC" w14:textId="77777777" w:rsidR="00EC13DA" w:rsidRPr="00A57C11" w:rsidRDefault="00743809" w:rsidP="00A57C11">
      <w:pPr>
        <w:pStyle w:val="Kop1"/>
        <w:spacing w:line="276" w:lineRule="auto"/>
        <w:ind w:left="256" w:hanging="271"/>
      </w:pPr>
      <w:r w:rsidRPr="00A57C11">
        <w:t>Incasso</w:t>
      </w:r>
      <w:r w:rsidRPr="00A57C11">
        <w:rPr>
          <w:b w:val="0"/>
        </w:rPr>
        <w:t xml:space="preserve"> </w:t>
      </w:r>
    </w:p>
    <w:p w14:paraId="61BBE26F" w14:textId="77777777" w:rsidR="00EC13DA" w:rsidRPr="00743809" w:rsidRDefault="00743809" w:rsidP="00A57C11">
      <w:pPr>
        <w:spacing w:line="276" w:lineRule="auto"/>
        <w:ind w:left="-5"/>
        <w:rPr>
          <w:sz w:val="24"/>
        </w:rPr>
      </w:pPr>
      <w:r w:rsidRPr="00743809">
        <w:rPr>
          <w:sz w:val="24"/>
        </w:rPr>
        <w:t xml:space="preserve">De diëtist is in het hierboven onder artikel 4 en 5 vermelde geval gerechtigd onverwijld tot incasso van de vordering over te gaan, dan wel derden daar mee te </w:t>
      </w:r>
      <w:r w:rsidRPr="00743809">
        <w:rPr>
          <w:sz w:val="24"/>
        </w:rPr>
        <w:t xml:space="preserve">belasten. Bij een 1e betalingsherinnering zal de vordering worden verhoogd met € </w:t>
      </w:r>
      <w:r w:rsidRPr="00743809">
        <w:rPr>
          <w:sz w:val="24"/>
        </w:rPr>
        <w:t xml:space="preserve">5,00 administratiekosten, </w:t>
      </w:r>
      <w:r w:rsidRPr="00743809">
        <w:rPr>
          <w:sz w:val="24"/>
        </w:rPr>
        <w:t>bij een 2e betalingsherinnering met € 10,00.</w:t>
      </w:r>
      <w:r w:rsidRPr="00743809">
        <w:rPr>
          <w:sz w:val="24"/>
        </w:rPr>
        <w:t xml:space="preserve"> </w:t>
      </w:r>
    </w:p>
    <w:p w14:paraId="7FEAA3F2" w14:textId="77777777" w:rsidR="00EC13DA" w:rsidRPr="00A57C11" w:rsidRDefault="00743809" w:rsidP="00A57C11">
      <w:pPr>
        <w:pStyle w:val="Kop1"/>
        <w:spacing w:line="276" w:lineRule="auto"/>
        <w:ind w:left="256" w:hanging="271"/>
      </w:pPr>
      <w:r w:rsidRPr="00A57C11">
        <w:t>Verschuldigdheid</w:t>
      </w:r>
      <w:r w:rsidRPr="00A57C11">
        <w:rPr>
          <w:b w:val="0"/>
        </w:rPr>
        <w:t xml:space="preserve"> </w:t>
      </w:r>
    </w:p>
    <w:p w14:paraId="67A08322" w14:textId="77777777" w:rsidR="00EC13DA" w:rsidRPr="00743809" w:rsidRDefault="00743809" w:rsidP="00A57C11">
      <w:pPr>
        <w:spacing w:after="280" w:line="276" w:lineRule="auto"/>
        <w:ind w:left="0" w:right="417" w:firstLine="0"/>
        <w:jc w:val="both"/>
        <w:rPr>
          <w:sz w:val="24"/>
        </w:rPr>
      </w:pPr>
      <w:r w:rsidRPr="00743809">
        <w:rPr>
          <w:sz w:val="24"/>
        </w:rPr>
        <w:t xml:space="preserve">Tenzij uitdrukkelijk het tegendeel wordt bewezen zijn, ter zake de juistheid van hetgeen de opdrachtgever verschuldigd is, de administratieve gegevens van de diëtist bindend. </w:t>
      </w:r>
    </w:p>
    <w:p w14:paraId="13D391E3" w14:textId="77777777" w:rsidR="00EC13DA" w:rsidRPr="00A57C11" w:rsidRDefault="00743809" w:rsidP="00A57C11">
      <w:pPr>
        <w:pStyle w:val="Kop1"/>
        <w:spacing w:line="276" w:lineRule="auto"/>
        <w:ind w:left="256" w:hanging="271"/>
      </w:pPr>
      <w:r w:rsidRPr="00A57C11">
        <w:t>Aansprakelijkheid</w:t>
      </w:r>
      <w:r w:rsidRPr="00A57C11">
        <w:rPr>
          <w:b w:val="0"/>
        </w:rPr>
        <w:t xml:space="preserve"> </w:t>
      </w:r>
    </w:p>
    <w:p w14:paraId="36905F79" w14:textId="77777777" w:rsidR="00EC13DA" w:rsidRPr="00743809" w:rsidRDefault="00743809" w:rsidP="00A57C11">
      <w:pPr>
        <w:spacing w:line="276" w:lineRule="auto"/>
        <w:ind w:left="-5"/>
        <w:rPr>
          <w:sz w:val="24"/>
        </w:rPr>
      </w:pPr>
      <w:r w:rsidRPr="00743809">
        <w:rPr>
          <w:sz w:val="24"/>
        </w:rPr>
        <w:t xml:space="preserve">Het advies van de diëtist is naar zijn aard resultaatgericht zonder dat resultaat te garanderen. De diëtist sluit elke aansprakelijkheid uit ter zake van schade of letsel voortvloeiende uit of in verband met de opvolging door de opdrachtgever van door de diëtist verstrekte adviezen, tenzij sprake is van opzet of grove schuld aan de zijde van de diëtist. </w:t>
      </w:r>
    </w:p>
    <w:p w14:paraId="5BAB6CA9" w14:textId="77777777" w:rsidR="00EC13DA" w:rsidRPr="00A57C11" w:rsidRDefault="00743809" w:rsidP="00A57C11">
      <w:pPr>
        <w:pStyle w:val="Kop1"/>
        <w:spacing w:line="276" w:lineRule="auto"/>
        <w:ind w:left="256" w:hanging="271"/>
      </w:pPr>
      <w:r w:rsidRPr="00A57C11">
        <w:t xml:space="preserve">Privacy </w:t>
      </w:r>
    </w:p>
    <w:p w14:paraId="5A748914" w14:textId="77777777" w:rsidR="00EC13DA" w:rsidRPr="00743809" w:rsidRDefault="00743809" w:rsidP="00A57C11">
      <w:pPr>
        <w:spacing w:line="276" w:lineRule="auto"/>
        <w:ind w:left="-5"/>
        <w:rPr>
          <w:sz w:val="24"/>
        </w:rPr>
      </w:pPr>
      <w:r w:rsidRPr="00743809">
        <w:rPr>
          <w:sz w:val="24"/>
        </w:rPr>
        <w:t xml:space="preserve">Voogt Care gaat zorgvuldig en vertrouwelijk om met jouw persoonsgegevens. In een addendum is de privacyverklaring te lezen. </w:t>
      </w:r>
    </w:p>
    <w:p w14:paraId="43BB9D81" w14:textId="77777777" w:rsidR="00EC13DA" w:rsidRPr="00A57C11" w:rsidRDefault="00743809" w:rsidP="00A57C11">
      <w:pPr>
        <w:pStyle w:val="Kop1"/>
        <w:spacing w:line="276" w:lineRule="auto"/>
        <w:ind w:left="392" w:hanging="407"/>
      </w:pPr>
      <w:r w:rsidRPr="00A57C11">
        <w:t xml:space="preserve">Klachten </w:t>
      </w:r>
    </w:p>
    <w:p w14:paraId="0F964485" w14:textId="77777777" w:rsidR="00EC13DA" w:rsidRPr="00743809" w:rsidRDefault="00743809" w:rsidP="00A57C11">
      <w:pPr>
        <w:spacing w:after="221" w:line="276" w:lineRule="auto"/>
        <w:ind w:left="-5"/>
        <w:rPr>
          <w:sz w:val="24"/>
        </w:rPr>
      </w:pPr>
      <w:r w:rsidRPr="00743809">
        <w:rPr>
          <w:sz w:val="24"/>
        </w:rPr>
        <w:t xml:space="preserve">Uw zorgverlener doet er alles aan goede zorg te verlenen en alles zorgvuldig te organiseren. Mocht u als cliënt onverhoopt toch niet tevreden zijn, dan is het belangrijk dat te bespreken.  </w:t>
      </w:r>
    </w:p>
    <w:p w14:paraId="12CF4FF3" w14:textId="77777777" w:rsidR="00EC13DA" w:rsidRPr="00A57C11" w:rsidRDefault="00743809" w:rsidP="00A57C11">
      <w:pPr>
        <w:spacing w:after="3313" w:line="276" w:lineRule="auto"/>
        <w:ind w:left="0" w:firstLine="0"/>
      </w:pPr>
      <w:r w:rsidRPr="00A57C11">
        <w:rPr>
          <w:sz w:val="22"/>
        </w:rPr>
        <w:t xml:space="preserve"> </w:t>
      </w:r>
    </w:p>
    <w:p w14:paraId="5D34BDE8" w14:textId="77777777" w:rsidR="00A57C11" w:rsidRPr="00A57C11" w:rsidRDefault="00A57C11" w:rsidP="00A57C11">
      <w:pPr>
        <w:tabs>
          <w:tab w:val="center" w:pos="4537"/>
          <w:tab w:val="right" w:pos="9075"/>
        </w:tabs>
        <w:spacing w:after="140" w:line="276" w:lineRule="auto"/>
        <w:ind w:left="-15" w:right="-15" w:firstLine="0"/>
      </w:pPr>
    </w:p>
    <w:sectPr w:rsidR="00A57C11" w:rsidRPr="00A57C11">
      <w:footerReference w:type="default" r:id="rId7"/>
      <w:pgSz w:w="11906" w:h="16838"/>
      <w:pgMar w:top="1470" w:right="1414" w:bottom="706"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29A1" w14:textId="77777777" w:rsidR="00743809" w:rsidRDefault="00743809" w:rsidP="00743809">
      <w:pPr>
        <w:spacing w:after="0" w:line="240" w:lineRule="auto"/>
      </w:pPr>
      <w:r>
        <w:separator/>
      </w:r>
    </w:p>
  </w:endnote>
  <w:endnote w:type="continuationSeparator" w:id="0">
    <w:p w14:paraId="0DEAE022" w14:textId="77777777" w:rsidR="00743809" w:rsidRDefault="00743809" w:rsidP="0074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9933" w14:textId="77777777" w:rsidR="00743809" w:rsidRPr="00A57C11" w:rsidRDefault="00743809" w:rsidP="00743809">
    <w:pPr>
      <w:spacing w:after="0" w:line="276" w:lineRule="auto"/>
      <w:ind w:left="3159" w:firstLine="0"/>
    </w:pPr>
    <w:r w:rsidRPr="00A57C11">
      <w:rPr>
        <w:noProof/>
      </w:rPr>
      <w:drawing>
        <wp:inline distT="0" distB="0" distL="0" distR="0" wp14:anchorId="0862E47F" wp14:editId="54E47F0D">
          <wp:extent cx="1272921" cy="2362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72921" cy="236220"/>
                  </a:xfrm>
                  <a:prstGeom prst="rect">
                    <a:avLst/>
                  </a:prstGeom>
                </pic:spPr>
              </pic:pic>
            </a:graphicData>
          </a:graphic>
        </wp:inline>
      </w:drawing>
    </w:r>
  </w:p>
  <w:p w14:paraId="09F7F446" w14:textId="686AD87C" w:rsidR="00743809" w:rsidRPr="00A57C11" w:rsidRDefault="00743809" w:rsidP="00743809">
    <w:pPr>
      <w:tabs>
        <w:tab w:val="center" w:pos="4537"/>
        <w:tab w:val="right" w:pos="9075"/>
      </w:tabs>
      <w:spacing w:after="140" w:line="276" w:lineRule="auto"/>
      <w:ind w:left="-15" w:right="-15" w:firstLine="0"/>
    </w:pPr>
    <w:r>
      <w:rPr>
        <w:color w:val="BF8F00"/>
        <w:sz w:val="22"/>
      </w:rPr>
      <w:t>30-08-2025</w:t>
    </w:r>
    <w:r w:rsidRPr="00A57C11">
      <w:rPr>
        <w:color w:val="BF8F00"/>
        <w:sz w:val="22"/>
      </w:rPr>
      <w:t xml:space="preserve"> </w:t>
    </w:r>
    <w:r w:rsidRPr="00A57C11">
      <w:rPr>
        <w:color w:val="BF8F00"/>
        <w:sz w:val="22"/>
      </w:rPr>
      <w:tab/>
      <w:t xml:space="preserve">Voogt Care </w:t>
    </w:r>
    <w:r w:rsidRPr="00A57C11">
      <w:rPr>
        <w:color w:val="BF8F00"/>
        <w:sz w:val="22"/>
      </w:rPr>
      <w:tab/>
      <w:t xml:space="preserve">1 </w:t>
    </w:r>
  </w:p>
  <w:p w14:paraId="3D905F56" w14:textId="77777777" w:rsidR="00743809" w:rsidRDefault="007438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9731" w14:textId="77777777" w:rsidR="00743809" w:rsidRDefault="00743809" w:rsidP="00743809">
      <w:pPr>
        <w:spacing w:after="0" w:line="240" w:lineRule="auto"/>
      </w:pPr>
      <w:r>
        <w:separator/>
      </w:r>
    </w:p>
  </w:footnote>
  <w:footnote w:type="continuationSeparator" w:id="0">
    <w:p w14:paraId="40A51B99" w14:textId="77777777" w:rsidR="00743809" w:rsidRDefault="00743809" w:rsidP="00743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720F8"/>
    <w:multiLevelType w:val="hybridMultilevel"/>
    <w:tmpl w:val="9D789E34"/>
    <w:lvl w:ilvl="0" w:tplc="B9E2AD94">
      <w:start w:val="1"/>
      <w:numFmt w:val="decimal"/>
      <w:pStyle w:val="Kop1"/>
      <w:lvlText w:val="%1."/>
      <w:lvlJc w:val="left"/>
      <w:pPr>
        <w:ind w:left="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1" w:tplc="8368AADA">
      <w:start w:val="1"/>
      <w:numFmt w:val="lowerLetter"/>
      <w:lvlText w:val="%2"/>
      <w:lvlJc w:val="left"/>
      <w:pPr>
        <w:ind w:left="108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2" w:tplc="F83A524A">
      <w:start w:val="1"/>
      <w:numFmt w:val="lowerRoman"/>
      <w:lvlText w:val="%3"/>
      <w:lvlJc w:val="left"/>
      <w:pPr>
        <w:ind w:left="180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3" w:tplc="2FC4B6FE">
      <w:start w:val="1"/>
      <w:numFmt w:val="decimal"/>
      <w:lvlText w:val="%4"/>
      <w:lvlJc w:val="left"/>
      <w:pPr>
        <w:ind w:left="252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4" w:tplc="AB5A3338">
      <w:start w:val="1"/>
      <w:numFmt w:val="lowerLetter"/>
      <w:lvlText w:val="%5"/>
      <w:lvlJc w:val="left"/>
      <w:pPr>
        <w:ind w:left="324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5" w:tplc="6E74BBCC">
      <w:start w:val="1"/>
      <w:numFmt w:val="lowerRoman"/>
      <w:lvlText w:val="%6"/>
      <w:lvlJc w:val="left"/>
      <w:pPr>
        <w:ind w:left="396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6" w:tplc="269ED440">
      <w:start w:val="1"/>
      <w:numFmt w:val="decimal"/>
      <w:lvlText w:val="%7"/>
      <w:lvlJc w:val="left"/>
      <w:pPr>
        <w:ind w:left="468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7" w:tplc="1578E434">
      <w:start w:val="1"/>
      <w:numFmt w:val="lowerLetter"/>
      <w:lvlText w:val="%8"/>
      <w:lvlJc w:val="left"/>
      <w:pPr>
        <w:ind w:left="540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8" w:tplc="5C743CA2">
      <w:start w:val="1"/>
      <w:numFmt w:val="lowerRoman"/>
      <w:lvlText w:val="%9"/>
      <w:lvlJc w:val="left"/>
      <w:pPr>
        <w:ind w:left="612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abstractNum>
  <w:num w:numId="1" w16cid:durableId="97218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DA"/>
    <w:rsid w:val="004038A5"/>
    <w:rsid w:val="00743809"/>
    <w:rsid w:val="00A57C11"/>
    <w:rsid w:val="00EC1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0D9E"/>
  <w15:docId w15:val="{EC147C5E-C864-4124-AA37-19EE4A8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67" w:line="249" w:lineRule="auto"/>
      <w:ind w:left="10" w:hanging="10"/>
    </w:pPr>
    <w:rPr>
      <w:rFonts w:ascii="Calibri" w:eastAsia="Calibri" w:hAnsi="Calibri" w:cs="Calibri"/>
      <w:color w:val="000000"/>
      <w:sz w:val="27"/>
    </w:rPr>
  </w:style>
  <w:style w:type="paragraph" w:styleId="Kop1">
    <w:name w:val="heading 1"/>
    <w:next w:val="Standaard"/>
    <w:link w:val="Kop1Char"/>
    <w:uiPriority w:val="9"/>
    <w:qFormat/>
    <w:pPr>
      <w:keepNext/>
      <w:keepLines/>
      <w:numPr>
        <w:numId w:val="1"/>
      </w:numPr>
      <w:spacing w:after="0" w:line="259" w:lineRule="auto"/>
      <w:ind w:left="10" w:hanging="10"/>
      <w:outlineLvl w:val="0"/>
    </w:pPr>
    <w:rPr>
      <w:rFonts w:ascii="Calibri" w:eastAsia="Calibri" w:hAnsi="Calibri" w:cs="Calibri"/>
      <w:b/>
      <w:color w:val="000000"/>
      <w:sz w:val="2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7"/>
    </w:rPr>
  </w:style>
  <w:style w:type="paragraph" w:customStyle="1" w:styleId="has-text-align-left">
    <w:name w:val="has-text-align-left"/>
    <w:basedOn w:val="Standaard"/>
    <w:rsid w:val="00A57C11"/>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Normaalweb">
    <w:name w:val="Normal (Web)"/>
    <w:basedOn w:val="Standaard"/>
    <w:uiPriority w:val="99"/>
    <w:semiHidden/>
    <w:unhideWhenUsed/>
    <w:rsid w:val="00A57C11"/>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Koptekst">
    <w:name w:val="header"/>
    <w:basedOn w:val="Standaard"/>
    <w:link w:val="KoptekstChar"/>
    <w:uiPriority w:val="99"/>
    <w:unhideWhenUsed/>
    <w:rsid w:val="007438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3809"/>
    <w:rPr>
      <w:rFonts w:ascii="Calibri" w:eastAsia="Calibri" w:hAnsi="Calibri" w:cs="Calibri"/>
      <w:color w:val="000000"/>
      <w:sz w:val="27"/>
    </w:rPr>
  </w:style>
  <w:style w:type="paragraph" w:styleId="Voettekst">
    <w:name w:val="footer"/>
    <w:basedOn w:val="Standaard"/>
    <w:link w:val="VoettekstChar"/>
    <w:uiPriority w:val="99"/>
    <w:unhideWhenUsed/>
    <w:rsid w:val="007438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3809"/>
    <w:rPr>
      <w:rFonts w:ascii="Calibri" w:eastAsia="Calibri" w:hAnsi="Calibri" w:cs="Calibri"/>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571</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Voogt</dc:creator>
  <cp:keywords/>
  <cp:lastModifiedBy>Karin Voogt</cp:lastModifiedBy>
  <cp:revision>2</cp:revision>
  <dcterms:created xsi:type="dcterms:W3CDTF">2025-08-30T13:47:00Z</dcterms:created>
  <dcterms:modified xsi:type="dcterms:W3CDTF">2025-08-30T13:47:00Z</dcterms:modified>
</cp:coreProperties>
</file>